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567E7">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5CC8877A">
      <w:pPr>
        <w:jc w:val="center"/>
        <w:rPr>
          <w:rFonts w:hint="eastAsia" w:eastAsia="华文中宋"/>
          <w:sz w:val="36"/>
          <w:szCs w:val="36"/>
        </w:rPr>
      </w:pPr>
    </w:p>
    <w:p w14:paraId="0D4CE6E4">
      <w:pPr>
        <w:jc w:val="center"/>
        <w:rPr>
          <w:rFonts w:hint="eastAsia" w:eastAsia="华文中宋"/>
          <w:sz w:val="36"/>
          <w:szCs w:val="36"/>
        </w:rPr>
      </w:pPr>
    </w:p>
    <w:p w14:paraId="21C8BEC9">
      <w:pPr>
        <w:jc w:val="center"/>
        <w:rPr>
          <w:rFonts w:hint="eastAsia" w:eastAsia="华文中宋"/>
          <w:sz w:val="36"/>
          <w:szCs w:val="36"/>
        </w:rPr>
      </w:pPr>
    </w:p>
    <w:p w14:paraId="1D7752DC">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0E036A43">
        <w:tblPrEx>
          <w:tblCellMar>
            <w:top w:w="0" w:type="dxa"/>
            <w:left w:w="108" w:type="dxa"/>
            <w:bottom w:w="0" w:type="dxa"/>
            <w:right w:w="108" w:type="dxa"/>
          </w:tblCellMar>
        </w:tblPrEx>
        <w:trPr>
          <w:jc w:val="center"/>
        </w:trPr>
        <w:tc>
          <w:tcPr>
            <w:tcW w:w="1883" w:type="dxa"/>
            <w:noWrap w:val="0"/>
            <w:vAlign w:val="top"/>
          </w:tcPr>
          <w:p w14:paraId="2D39B0B8">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项目名称：</w:t>
            </w:r>
          </w:p>
        </w:tc>
        <w:tc>
          <w:tcPr>
            <w:tcW w:w="5566" w:type="dxa"/>
            <w:noWrap w:val="0"/>
            <w:vAlign w:val="top"/>
          </w:tcPr>
          <w:p w14:paraId="1347FCF5">
            <w:pPr>
              <w:rPr>
                <w:rFonts w:hint="eastAsia" w:ascii="微软雅黑" w:hAnsi="微软雅黑" w:eastAsia="微软雅黑"/>
                <w:bCs/>
                <w:color w:val="000000"/>
                <w:sz w:val="32"/>
                <w:szCs w:val="32"/>
              </w:rPr>
            </w:pPr>
            <w:r>
              <w:rPr>
                <w:rFonts w:hint="eastAsia" w:ascii="微软雅黑" w:hAnsi="微软雅黑" w:eastAsia="微软雅黑"/>
                <w:bCs/>
                <w:color w:val="000000"/>
                <w:sz w:val="30"/>
                <w:szCs w:val="30"/>
              </w:rPr>
              <w:t>地理空间信息处理与应用实践教学案例</w:t>
            </w:r>
          </w:p>
        </w:tc>
      </w:tr>
      <w:tr w14:paraId="7853DB17">
        <w:tblPrEx>
          <w:tblCellMar>
            <w:top w:w="0" w:type="dxa"/>
            <w:left w:w="108" w:type="dxa"/>
            <w:bottom w:w="0" w:type="dxa"/>
            <w:right w:w="108" w:type="dxa"/>
          </w:tblCellMar>
        </w:tblPrEx>
        <w:trPr>
          <w:jc w:val="center"/>
        </w:trPr>
        <w:tc>
          <w:tcPr>
            <w:tcW w:w="1883" w:type="dxa"/>
            <w:noWrap w:val="0"/>
            <w:vAlign w:val="top"/>
          </w:tcPr>
          <w:p w14:paraId="4483A333">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项目编号：</w:t>
            </w:r>
          </w:p>
        </w:tc>
        <w:tc>
          <w:tcPr>
            <w:tcW w:w="5566" w:type="dxa"/>
            <w:noWrap w:val="0"/>
            <w:vAlign w:val="top"/>
          </w:tcPr>
          <w:p w14:paraId="01C67217">
            <w:pPr>
              <w:rPr>
                <w:rFonts w:hint="eastAsia" w:ascii="微软雅黑" w:hAnsi="微软雅黑" w:eastAsia="微软雅黑"/>
                <w:bCs/>
                <w:color w:val="000000"/>
                <w:sz w:val="32"/>
                <w:szCs w:val="32"/>
              </w:rPr>
            </w:pPr>
            <w:r>
              <w:rPr>
                <w:rFonts w:hint="eastAsia" w:ascii="微软雅黑" w:hAnsi="微软雅黑" w:eastAsia="微软雅黑"/>
                <w:bCs/>
                <w:color w:val="000000"/>
                <w:sz w:val="32"/>
                <w:szCs w:val="32"/>
              </w:rPr>
              <w:t>2025-YKGJGXLHQB-F9007</w:t>
            </w:r>
          </w:p>
        </w:tc>
      </w:tr>
    </w:tbl>
    <w:p w14:paraId="024850C3">
      <w:pPr>
        <w:jc w:val="center"/>
        <w:rPr>
          <w:rFonts w:hint="eastAsia" w:eastAsia="华文中宋"/>
          <w:sz w:val="36"/>
          <w:szCs w:val="36"/>
        </w:rPr>
      </w:pPr>
    </w:p>
    <w:p w14:paraId="26AAF288">
      <w:pPr>
        <w:jc w:val="center"/>
        <w:rPr>
          <w:rFonts w:hint="eastAsia" w:eastAsia="华文中宋"/>
          <w:sz w:val="36"/>
          <w:szCs w:val="36"/>
        </w:rPr>
      </w:pPr>
    </w:p>
    <w:p w14:paraId="5CFDAA19">
      <w:pPr>
        <w:jc w:val="center"/>
        <w:rPr>
          <w:rFonts w:hint="eastAsia" w:eastAsia="华文中宋"/>
          <w:sz w:val="36"/>
          <w:szCs w:val="36"/>
        </w:rPr>
      </w:pPr>
    </w:p>
    <w:p w14:paraId="7FF65E5A">
      <w:pPr>
        <w:jc w:val="center"/>
        <w:rPr>
          <w:rFonts w:hint="eastAsia" w:eastAsia="华文中宋"/>
          <w:sz w:val="36"/>
          <w:szCs w:val="36"/>
        </w:rPr>
      </w:pPr>
    </w:p>
    <w:p w14:paraId="754A501D">
      <w:pPr>
        <w:jc w:val="center"/>
        <w:rPr>
          <w:rFonts w:hint="eastAsia" w:eastAsia="华文中宋"/>
          <w:sz w:val="36"/>
          <w:szCs w:val="36"/>
        </w:rPr>
      </w:pPr>
    </w:p>
    <w:p w14:paraId="4DABE149">
      <w:pPr>
        <w:spacing w:line="560" w:lineRule="exact"/>
        <w:jc w:val="center"/>
        <w:rPr>
          <w:rFonts w:hint="eastAsia" w:eastAsia="黑体"/>
          <w:sz w:val="28"/>
          <w:szCs w:val="28"/>
        </w:rPr>
      </w:pPr>
      <w:r>
        <w:rPr>
          <w:rFonts w:hint="eastAsia" w:eastAsia="黑体"/>
          <w:sz w:val="28"/>
          <w:szCs w:val="28"/>
        </w:rPr>
        <w:t>某学院</w:t>
      </w:r>
    </w:p>
    <w:p w14:paraId="47DC0194">
      <w:pPr>
        <w:spacing w:line="560" w:lineRule="exact"/>
        <w:rPr>
          <w:rFonts w:hint="eastAsia" w:eastAsia="黑体"/>
          <w:sz w:val="28"/>
          <w:szCs w:val="28"/>
        </w:rPr>
        <w:sectPr>
          <w:footerReference r:id="rId3" w:type="default"/>
          <w:footerReference r:id="rId4" w:type="even"/>
          <w:pgSz w:w="11906" w:h="16838"/>
          <w:pgMar w:top="2098" w:right="1474" w:bottom="1985" w:left="1588" w:header="851" w:footer="992" w:gutter="0"/>
          <w:pgNumType w:start="1"/>
          <w:cols w:space="720" w:num="1"/>
          <w:docGrid w:type="lines" w:linePitch="312" w:charSpace="0"/>
        </w:sectPr>
      </w:pPr>
    </w:p>
    <w:p w14:paraId="4E30D46E">
      <w:pPr>
        <w:pStyle w:val="4"/>
        <w:ind w:left="0" w:leftChars="0"/>
        <w:jc w:val="center"/>
        <w:rPr>
          <w:rFonts w:hint="eastAsia"/>
          <w:sz w:val="28"/>
          <w:szCs w:val="24"/>
        </w:rPr>
      </w:pPr>
      <w:r>
        <w:rPr>
          <w:rFonts w:hint="eastAsia" w:ascii="方正小标宋简体" w:hAnsi="宋体" w:eastAsia="方正小标宋简体" w:cs="宋体"/>
          <w:color w:val="000000"/>
          <w:sz w:val="44"/>
          <w:szCs w:val="44"/>
        </w:rPr>
        <w:t>采购内容明细</w:t>
      </w:r>
    </w:p>
    <w:p w14:paraId="7354DFCE">
      <w:pPr>
        <w:pStyle w:val="4"/>
        <w:ind w:left="0" w:leftChars="0" w:firstLine="560" w:firstLineChars="200"/>
        <w:rPr>
          <w:rFonts w:hint="eastAsia"/>
          <w:sz w:val="28"/>
          <w:szCs w:val="24"/>
        </w:rPr>
      </w:pPr>
      <w:r>
        <w:rPr>
          <w:rFonts w:hint="eastAsia"/>
          <w:sz w:val="28"/>
          <w:szCs w:val="24"/>
        </w:rPr>
        <w:t>（一）具体内容</w:t>
      </w:r>
    </w:p>
    <w:p w14:paraId="37B247CC">
      <w:pPr>
        <w:pStyle w:val="4"/>
        <w:ind w:left="0" w:leftChars="0" w:firstLine="560" w:firstLineChars="200"/>
        <w:rPr>
          <w:rFonts w:hint="eastAsia"/>
          <w:sz w:val="28"/>
          <w:szCs w:val="24"/>
        </w:rPr>
      </w:pPr>
      <w:r>
        <w:rPr>
          <w:rFonts w:hint="eastAsia"/>
          <w:sz w:val="28"/>
          <w:szCs w:val="24"/>
        </w:rPr>
        <w:t>基于GoogleEarth、OSM、社交平台、网站等开源平台，采集目标包括矢量、影像、文本、图片、视频等多源地理空间信息数据，使用QGIS、ENVI制作完成6类典型实践教学案例。实践教学案例有：</w:t>
      </w:r>
    </w:p>
    <w:p w14:paraId="6BCD2117">
      <w:pPr>
        <w:pStyle w:val="4"/>
        <w:ind w:left="0" w:leftChars="0" w:firstLine="560" w:firstLineChars="200"/>
        <w:rPr>
          <w:rFonts w:hint="eastAsia"/>
          <w:sz w:val="28"/>
          <w:szCs w:val="24"/>
        </w:rPr>
      </w:pPr>
      <w:r>
        <w:rPr>
          <w:rFonts w:hint="eastAsia"/>
          <w:sz w:val="28"/>
          <w:szCs w:val="24"/>
        </w:rPr>
        <w:t>1.港口目标多源数据加工处理</w:t>
      </w:r>
    </w:p>
    <w:p w14:paraId="1286ABD7">
      <w:pPr>
        <w:pStyle w:val="4"/>
        <w:ind w:left="0" w:leftChars="0" w:firstLine="560" w:firstLineChars="200"/>
        <w:rPr>
          <w:rFonts w:hint="eastAsia"/>
          <w:sz w:val="28"/>
          <w:szCs w:val="24"/>
        </w:rPr>
      </w:pPr>
      <w:r>
        <w:rPr>
          <w:rFonts w:hint="eastAsia"/>
          <w:sz w:val="28"/>
          <w:szCs w:val="24"/>
        </w:rPr>
        <w:t>基于区域遥感TIF影像和OSM地理数据进行港口数据集的采集与几何校正，在QGIS软件中形成人工采集港口矢量数据集，并基于采集的网站文本和多媒体数据，补充港口的属性数据。</w:t>
      </w:r>
    </w:p>
    <w:p w14:paraId="7A1228D7">
      <w:pPr>
        <w:pStyle w:val="4"/>
        <w:ind w:left="0" w:leftChars="0" w:firstLine="560" w:firstLineChars="200"/>
        <w:rPr>
          <w:rFonts w:hint="eastAsia"/>
          <w:sz w:val="28"/>
          <w:szCs w:val="24"/>
        </w:rPr>
      </w:pPr>
      <w:r>
        <w:rPr>
          <w:rFonts w:hint="eastAsia"/>
          <w:sz w:val="28"/>
          <w:szCs w:val="24"/>
        </w:rPr>
        <w:t>在用户提供的工具软件中制作港口目标样本集标注、港口数据集划分、港口目标检测。训练、港口目标识别推理验证，并支持多次迭代训练，最终导出智能识别港口矢量数据集，并提供港口训练报告文件。</w:t>
      </w:r>
    </w:p>
    <w:p w14:paraId="7E1D9DEE">
      <w:pPr>
        <w:pStyle w:val="4"/>
        <w:ind w:left="0" w:leftChars="0" w:firstLine="560" w:firstLineChars="200"/>
        <w:rPr>
          <w:rFonts w:hint="eastAsia"/>
          <w:sz w:val="28"/>
          <w:szCs w:val="24"/>
        </w:rPr>
      </w:pPr>
      <w:r>
        <w:rPr>
          <w:rFonts w:hint="eastAsia"/>
          <w:sz w:val="28"/>
          <w:szCs w:val="24"/>
        </w:rPr>
        <w:t>在QGIS软件中基于遥感影像底图、人工采集港口矢量数据集、智能识别港口矢量数据集、多媒体图片等数据制作完成区域港口目标对比专题图。</w:t>
      </w:r>
    </w:p>
    <w:p w14:paraId="55A6D711">
      <w:pPr>
        <w:pStyle w:val="4"/>
        <w:ind w:left="0" w:leftChars="0" w:firstLine="560" w:firstLineChars="200"/>
        <w:rPr>
          <w:rFonts w:hint="eastAsia"/>
          <w:sz w:val="28"/>
          <w:szCs w:val="24"/>
        </w:rPr>
      </w:pPr>
      <w:r>
        <w:rPr>
          <w:rFonts w:hint="eastAsia"/>
          <w:sz w:val="28"/>
          <w:szCs w:val="24"/>
        </w:rPr>
        <w:t>2.区域输电塔数据影像数据加工处理</w:t>
      </w:r>
    </w:p>
    <w:p w14:paraId="4F4DDD5B">
      <w:pPr>
        <w:pStyle w:val="4"/>
        <w:ind w:left="0" w:leftChars="0" w:firstLine="560" w:firstLineChars="200"/>
        <w:rPr>
          <w:rFonts w:hint="eastAsia"/>
          <w:sz w:val="28"/>
          <w:szCs w:val="24"/>
        </w:rPr>
      </w:pPr>
      <w:r>
        <w:rPr>
          <w:rFonts w:hint="eastAsia"/>
          <w:sz w:val="28"/>
          <w:szCs w:val="24"/>
        </w:rPr>
        <w:t>基于区域遥感TIF影像和OSM电塔数据集进行输电塔空间数据集采集，使用QGIS软件中形成区域输电塔矢量数据。</w:t>
      </w:r>
    </w:p>
    <w:p w14:paraId="40599C72">
      <w:pPr>
        <w:pStyle w:val="4"/>
        <w:ind w:left="0" w:leftChars="0" w:firstLine="560" w:firstLineChars="200"/>
        <w:rPr>
          <w:rFonts w:hint="eastAsia"/>
          <w:sz w:val="28"/>
          <w:szCs w:val="24"/>
        </w:rPr>
      </w:pPr>
      <w:r>
        <w:rPr>
          <w:rFonts w:hint="eastAsia"/>
          <w:sz w:val="28"/>
          <w:szCs w:val="24"/>
        </w:rPr>
        <w:t>在用户提供的工具软件中经影像裁切、目标检测标注、数据集划分等操作流程，制作输电塔数据集。能够进行输电塔数据训练、输电塔目标识别推理验证，并支持多次迭代训练，提升电厂目标提取效果；提供区域包含输电塔遥感影像，基于此影像，使用迭代训练的输出权重进行目标检测提取，最终导出智能识别输电塔数据集，并提供输电塔训练报告文件。</w:t>
      </w:r>
    </w:p>
    <w:p w14:paraId="6D47EE20">
      <w:pPr>
        <w:pStyle w:val="4"/>
        <w:ind w:left="0" w:leftChars="0" w:firstLine="560" w:firstLineChars="200"/>
        <w:rPr>
          <w:rFonts w:hint="eastAsia"/>
          <w:sz w:val="28"/>
          <w:szCs w:val="24"/>
        </w:rPr>
      </w:pPr>
      <w:r>
        <w:rPr>
          <w:rFonts w:hint="eastAsia"/>
          <w:sz w:val="28"/>
          <w:szCs w:val="24"/>
        </w:rPr>
        <w:t>在QGIS软件中基于遥感影像底图、输电塔矢量数据集制作完成区域输电塔分布专题图。</w:t>
      </w:r>
    </w:p>
    <w:p w14:paraId="756C6E23">
      <w:pPr>
        <w:pStyle w:val="4"/>
        <w:ind w:left="0" w:leftChars="0" w:firstLine="560" w:firstLineChars="200"/>
        <w:rPr>
          <w:rFonts w:hint="eastAsia"/>
          <w:sz w:val="28"/>
          <w:szCs w:val="24"/>
        </w:rPr>
      </w:pPr>
      <w:r>
        <w:rPr>
          <w:rFonts w:hint="eastAsia"/>
          <w:sz w:val="28"/>
          <w:szCs w:val="24"/>
        </w:rPr>
        <w:t>3.重点城市洪水风险评估</w:t>
      </w:r>
    </w:p>
    <w:p w14:paraId="0666DEE2">
      <w:pPr>
        <w:pStyle w:val="4"/>
        <w:ind w:left="0" w:leftChars="0" w:firstLine="560" w:firstLineChars="200"/>
        <w:rPr>
          <w:rFonts w:hint="eastAsia"/>
          <w:sz w:val="28"/>
          <w:szCs w:val="24"/>
        </w:rPr>
      </w:pPr>
      <w:r>
        <w:rPr>
          <w:rFonts w:hint="eastAsia"/>
          <w:sz w:val="28"/>
          <w:szCs w:val="24"/>
        </w:rPr>
        <w:t>基于区域遥感、城市矢量数据、地形数据进行数据采集与城市洪水灾害风险分析。</w:t>
      </w:r>
    </w:p>
    <w:p w14:paraId="2271F9C1">
      <w:pPr>
        <w:pStyle w:val="4"/>
        <w:ind w:left="0" w:leftChars="0" w:firstLine="560" w:firstLineChars="200"/>
        <w:rPr>
          <w:rFonts w:hint="eastAsia"/>
          <w:sz w:val="28"/>
          <w:szCs w:val="24"/>
        </w:rPr>
      </w:pPr>
      <w:r>
        <w:rPr>
          <w:rFonts w:hint="eastAsia"/>
          <w:sz w:val="28"/>
          <w:szCs w:val="24"/>
        </w:rPr>
        <w:t>采集重点区域城市点位矢量数据数据，重点城市地形DEM数据；模拟降雨点位矢量数据，基于降雨点位矢量数据进行降雨区域缓冲区分析，得到受波及城市点位数据；基于DEM数据制作重点区域坡度数据。</w:t>
      </w:r>
    </w:p>
    <w:p w14:paraId="215586A6">
      <w:pPr>
        <w:pStyle w:val="4"/>
        <w:ind w:left="0" w:leftChars="0" w:firstLine="560" w:firstLineChars="200"/>
        <w:rPr>
          <w:rFonts w:hint="eastAsia"/>
          <w:sz w:val="28"/>
          <w:szCs w:val="24"/>
        </w:rPr>
      </w:pPr>
      <w:r>
        <w:rPr>
          <w:rFonts w:hint="eastAsia"/>
          <w:sz w:val="28"/>
          <w:szCs w:val="24"/>
        </w:rPr>
        <w:t>在QGIS软件中基于重点区域矢量数据，叠加降雨区与波及城市数据和地形数据DEM数据，制作城市洪水灾害风险评估专题图。</w:t>
      </w:r>
    </w:p>
    <w:p w14:paraId="5EA949A2">
      <w:pPr>
        <w:pStyle w:val="4"/>
        <w:ind w:left="0" w:leftChars="0" w:firstLine="560" w:firstLineChars="200"/>
        <w:rPr>
          <w:rFonts w:hint="eastAsia"/>
          <w:sz w:val="28"/>
          <w:szCs w:val="24"/>
        </w:rPr>
      </w:pPr>
      <w:r>
        <w:rPr>
          <w:rFonts w:hint="eastAsia"/>
          <w:sz w:val="28"/>
          <w:szCs w:val="24"/>
        </w:rPr>
        <w:t>4.军事营区通达性最优路径分析</w:t>
      </w:r>
    </w:p>
    <w:p w14:paraId="45B5AE04">
      <w:pPr>
        <w:pStyle w:val="4"/>
        <w:ind w:left="0" w:leftChars="0" w:firstLine="560" w:firstLineChars="200"/>
        <w:rPr>
          <w:rFonts w:hint="eastAsia"/>
          <w:sz w:val="28"/>
          <w:szCs w:val="24"/>
        </w:rPr>
      </w:pPr>
      <w:r>
        <w:rPr>
          <w:rFonts w:hint="eastAsia"/>
          <w:sz w:val="28"/>
          <w:szCs w:val="24"/>
        </w:rPr>
        <w:t>基于OSM开源地理数据进行道路与军事营区数据采集，使用QGIS软件形成道路与军事营区矢量数据集。对道路数据进行几何修复与网络构建，制作可用于网络分析的矢量路网图层。</w:t>
      </w:r>
    </w:p>
    <w:p w14:paraId="5AB22EF7">
      <w:pPr>
        <w:pStyle w:val="4"/>
        <w:ind w:left="0" w:leftChars="0" w:firstLine="560" w:firstLineChars="200"/>
        <w:rPr>
          <w:rFonts w:hint="eastAsia"/>
          <w:sz w:val="28"/>
          <w:szCs w:val="24"/>
        </w:rPr>
      </w:pPr>
      <w:r>
        <w:rPr>
          <w:rFonts w:hint="eastAsia"/>
          <w:sz w:val="28"/>
          <w:szCs w:val="24"/>
        </w:rPr>
        <w:t>在QGIS软件网络分析工具中，基于构建的路网进行最优路径分析：通过选区两个军事营区，执行点对点最短路径分析；通过设置通行成本阈值，执行可达性分析，获取一段时间内的可达范围。</w:t>
      </w:r>
    </w:p>
    <w:p w14:paraId="570E418E">
      <w:pPr>
        <w:pStyle w:val="4"/>
        <w:ind w:left="0" w:leftChars="0" w:firstLine="560" w:firstLineChars="200"/>
        <w:rPr>
          <w:rFonts w:hint="eastAsia"/>
          <w:sz w:val="28"/>
          <w:szCs w:val="24"/>
        </w:rPr>
      </w:pPr>
      <w:r>
        <w:rPr>
          <w:rFonts w:hint="eastAsia"/>
          <w:sz w:val="28"/>
          <w:szCs w:val="24"/>
        </w:rPr>
        <w:t>在QGIS软件中基于遥感影像底图、道路网络、军事营区、最短路径分析结果，制作完成军事营区通达性评估专题图。</w:t>
      </w:r>
    </w:p>
    <w:p w14:paraId="1D35B813">
      <w:pPr>
        <w:pStyle w:val="4"/>
        <w:ind w:left="0" w:leftChars="0" w:firstLine="560" w:firstLineChars="200"/>
        <w:rPr>
          <w:rFonts w:hint="eastAsia"/>
          <w:sz w:val="28"/>
          <w:szCs w:val="24"/>
        </w:rPr>
      </w:pPr>
      <w:r>
        <w:rPr>
          <w:rFonts w:hint="eastAsia"/>
          <w:sz w:val="28"/>
          <w:szCs w:val="24"/>
        </w:rPr>
        <w:t>5.社交媒体多源数据数据加工</w:t>
      </w:r>
    </w:p>
    <w:p w14:paraId="221893B0">
      <w:pPr>
        <w:pStyle w:val="4"/>
        <w:ind w:left="0" w:leftChars="0" w:firstLine="560" w:firstLineChars="200"/>
        <w:rPr>
          <w:rFonts w:hint="eastAsia"/>
          <w:sz w:val="28"/>
          <w:szCs w:val="24"/>
        </w:rPr>
      </w:pPr>
      <w:r>
        <w:rPr>
          <w:rFonts w:hint="eastAsia"/>
          <w:sz w:val="28"/>
          <w:szCs w:val="24"/>
        </w:rPr>
        <w:t>基于社交媒体图像数据和区域遥感TIF影像进行重点目标采集，在QGIS软件中形成社交媒体重点目标矢量数据集，并基于互联网社交数据和多媒体数据，补充重点目标属性数据。</w:t>
      </w:r>
    </w:p>
    <w:p w14:paraId="2CFB99D6">
      <w:pPr>
        <w:pStyle w:val="4"/>
        <w:ind w:left="0" w:leftChars="0" w:firstLine="560" w:firstLineChars="200"/>
        <w:rPr>
          <w:rFonts w:hint="eastAsia"/>
          <w:sz w:val="28"/>
          <w:szCs w:val="24"/>
        </w:rPr>
      </w:pPr>
      <w:r>
        <w:rPr>
          <w:rFonts w:hint="eastAsia"/>
          <w:sz w:val="28"/>
          <w:szCs w:val="24"/>
        </w:rPr>
        <w:t>在QGIS软件中基于遥感影像底图、人工采集社交媒体重点目标数据集、多媒体图片等数据制作完成区域社交媒体重点目标对比专题图。</w:t>
      </w:r>
    </w:p>
    <w:p w14:paraId="0800BB01">
      <w:pPr>
        <w:pStyle w:val="4"/>
        <w:ind w:left="0" w:leftChars="0" w:firstLine="560" w:firstLineChars="200"/>
        <w:rPr>
          <w:rFonts w:hint="eastAsia"/>
          <w:sz w:val="28"/>
          <w:szCs w:val="24"/>
        </w:rPr>
      </w:pPr>
      <w:r>
        <w:rPr>
          <w:rFonts w:hint="eastAsia"/>
          <w:sz w:val="28"/>
          <w:szCs w:val="24"/>
        </w:rPr>
        <w:t>6.基于EVNI/QGIS软件的重点地区建筑物变化检测专题图</w:t>
      </w:r>
    </w:p>
    <w:p w14:paraId="0C971F92">
      <w:pPr>
        <w:pStyle w:val="4"/>
        <w:ind w:left="0" w:leftChars="0" w:firstLine="560" w:firstLineChars="200"/>
        <w:rPr>
          <w:rFonts w:hint="eastAsia"/>
          <w:sz w:val="28"/>
          <w:szCs w:val="24"/>
        </w:rPr>
      </w:pPr>
      <w:r>
        <w:rPr>
          <w:rFonts w:hint="eastAsia"/>
          <w:sz w:val="28"/>
          <w:szCs w:val="24"/>
        </w:rPr>
        <w:t>基于遥感影像进行重点城市区域建筑物变化检测提取与专题图制作。</w:t>
      </w:r>
    </w:p>
    <w:p w14:paraId="062110B7">
      <w:pPr>
        <w:pStyle w:val="4"/>
        <w:ind w:left="0" w:leftChars="0" w:firstLine="560" w:firstLineChars="200"/>
        <w:rPr>
          <w:rFonts w:hint="eastAsia"/>
          <w:sz w:val="28"/>
          <w:szCs w:val="24"/>
        </w:rPr>
      </w:pPr>
      <w:r>
        <w:rPr>
          <w:rFonts w:hint="eastAsia"/>
          <w:sz w:val="28"/>
          <w:szCs w:val="24"/>
        </w:rPr>
        <w:t>从开源影像平台，采集重点城市同一区域，不同时相的两张影像。在ENVI工具中，对建筑物敏感的短波红外波段和近红外波段进行计算，得到两期影像归一化建筑指数值（NDBI），将两期NDBI结果相减，得到变化栅格图层。通过对变化栅格图层设定阈值，将连续的变化图分类，并转换为矢量面数据。在QGIS软件中，加载原始影像，叠加矢量变化检测图层进行制图。</w:t>
      </w:r>
    </w:p>
    <w:p w14:paraId="380DD479">
      <w:pPr>
        <w:pStyle w:val="4"/>
        <w:ind w:left="0" w:leftChars="0" w:firstLine="560" w:firstLineChars="200"/>
        <w:rPr>
          <w:rFonts w:hint="eastAsia"/>
          <w:sz w:val="28"/>
          <w:szCs w:val="24"/>
        </w:rPr>
      </w:pPr>
      <w:r>
        <w:rPr>
          <w:rFonts w:hint="eastAsia"/>
          <w:sz w:val="28"/>
          <w:szCs w:val="24"/>
        </w:rPr>
        <w:t>（二）技术指标要求</w:t>
      </w:r>
    </w:p>
    <w:p w14:paraId="29B01A5D">
      <w:pPr>
        <w:pStyle w:val="4"/>
        <w:ind w:left="0" w:leftChars="0" w:firstLine="560" w:firstLineChars="200"/>
        <w:rPr>
          <w:rFonts w:hint="eastAsia"/>
          <w:sz w:val="28"/>
          <w:szCs w:val="24"/>
        </w:rPr>
      </w:pPr>
      <w:r>
        <w:rPr>
          <w:rFonts w:hint="eastAsia"/>
          <w:sz w:val="28"/>
          <w:szCs w:val="24"/>
        </w:rPr>
        <w:t>1.实践案例所需数据集</w:t>
      </w:r>
    </w:p>
    <w:p w14:paraId="46A71B3F">
      <w:pPr>
        <w:pStyle w:val="4"/>
        <w:ind w:left="0" w:leftChars="0" w:firstLine="560" w:firstLineChars="200"/>
        <w:rPr>
          <w:rFonts w:hint="eastAsia"/>
          <w:sz w:val="28"/>
          <w:szCs w:val="24"/>
        </w:rPr>
      </w:pPr>
      <w:r>
        <w:rPr>
          <w:rFonts w:hint="eastAsia"/>
          <w:sz w:val="28"/>
          <w:szCs w:val="24"/>
        </w:rPr>
        <w:t>（1）重要地区港口数据</w:t>
      </w:r>
    </w:p>
    <w:p w14:paraId="7DA67252">
      <w:pPr>
        <w:pStyle w:val="4"/>
        <w:ind w:left="0" w:leftChars="0" w:firstLine="560" w:firstLineChars="200"/>
        <w:rPr>
          <w:rFonts w:hint="eastAsia"/>
          <w:sz w:val="28"/>
          <w:szCs w:val="24"/>
        </w:rPr>
      </w:pPr>
      <w:r>
        <w:rPr>
          <w:rFonts w:hint="eastAsia"/>
          <w:sz w:val="28"/>
          <w:szCs w:val="24"/>
        </w:rPr>
        <w:t>提供重要地区港口数据集，包括高分辨率影像、OSM开源港口矢量数据、互联网开源港口多媒体数据等。</w:t>
      </w:r>
    </w:p>
    <w:p w14:paraId="5F8299B4">
      <w:pPr>
        <w:pStyle w:val="4"/>
        <w:ind w:left="0" w:leftChars="0" w:firstLine="560" w:firstLineChars="200"/>
        <w:rPr>
          <w:rFonts w:hint="eastAsia"/>
          <w:sz w:val="28"/>
          <w:szCs w:val="24"/>
        </w:rPr>
      </w:pPr>
      <w:r>
        <w:rPr>
          <w:rFonts w:hint="eastAsia"/>
          <w:sz w:val="28"/>
          <w:szCs w:val="24"/>
        </w:rPr>
        <w:t>（2）输电塔数据</w:t>
      </w:r>
    </w:p>
    <w:p w14:paraId="6EE08035">
      <w:pPr>
        <w:pStyle w:val="4"/>
        <w:ind w:left="0" w:leftChars="0" w:firstLine="560" w:firstLineChars="200"/>
        <w:rPr>
          <w:rFonts w:hint="eastAsia"/>
          <w:sz w:val="28"/>
          <w:szCs w:val="24"/>
        </w:rPr>
      </w:pPr>
      <w:r>
        <w:rPr>
          <w:rFonts w:hint="eastAsia"/>
          <w:sz w:val="28"/>
          <w:szCs w:val="24"/>
        </w:rPr>
        <w:t>提供输电塔数据集，包括用于遥感输电塔目标检测的瓦片影像。</w:t>
      </w:r>
    </w:p>
    <w:p w14:paraId="6FD99EE0">
      <w:pPr>
        <w:pStyle w:val="4"/>
        <w:ind w:left="0" w:leftChars="0" w:firstLine="560" w:firstLineChars="200"/>
        <w:rPr>
          <w:rFonts w:hint="eastAsia"/>
          <w:sz w:val="28"/>
          <w:szCs w:val="24"/>
        </w:rPr>
      </w:pPr>
      <w:r>
        <w:rPr>
          <w:rFonts w:hint="eastAsia"/>
          <w:sz w:val="28"/>
          <w:szCs w:val="24"/>
        </w:rPr>
        <w:t>（3）重点区域影像与DEM数据集</w:t>
      </w:r>
    </w:p>
    <w:p w14:paraId="5C737831">
      <w:pPr>
        <w:pStyle w:val="4"/>
        <w:ind w:left="0" w:leftChars="0" w:firstLine="560" w:firstLineChars="200"/>
        <w:rPr>
          <w:rFonts w:hint="eastAsia"/>
          <w:sz w:val="28"/>
          <w:szCs w:val="24"/>
        </w:rPr>
      </w:pPr>
      <w:r>
        <w:rPr>
          <w:rFonts w:hint="eastAsia"/>
          <w:sz w:val="28"/>
          <w:szCs w:val="24"/>
        </w:rPr>
        <w:t>提供重点区域影像与DEM数据集，包括可用于重点城市洪涝灾害分析的遥感影像、DEM高程数据，可制作城市洪涝灾害专题图。</w:t>
      </w:r>
    </w:p>
    <w:p w14:paraId="0243D97B">
      <w:pPr>
        <w:pStyle w:val="4"/>
        <w:ind w:left="0" w:leftChars="0" w:firstLine="560" w:firstLineChars="200"/>
        <w:rPr>
          <w:rFonts w:hint="eastAsia"/>
          <w:sz w:val="28"/>
          <w:szCs w:val="24"/>
        </w:rPr>
      </w:pPr>
      <w:r>
        <w:rPr>
          <w:rFonts w:hint="eastAsia"/>
          <w:sz w:val="28"/>
          <w:szCs w:val="24"/>
        </w:rPr>
        <w:t>（4）道路数据集</w:t>
      </w:r>
    </w:p>
    <w:p w14:paraId="46E130A0">
      <w:pPr>
        <w:pStyle w:val="4"/>
        <w:ind w:left="0" w:leftChars="0" w:firstLine="560" w:firstLineChars="200"/>
        <w:rPr>
          <w:rFonts w:hint="eastAsia"/>
          <w:sz w:val="28"/>
          <w:szCs w:val="24"/>
        </w:rPr>
      </w:pPr>
      <w:r>
        <w:rPr>
          <w:rFonts w:hint="eastAsia"/>
          <w:sz w:val="28"/>
          <w:szCs w:val="24"/>
        </w:rPr>
        <w:t>提供重点城市道路矢量数据集，用于重点城市最短路径分析，制作城区最短路径专题图。</w:t>
      </w:r>
    </w:p>
    <w:p w14:paraId="4B3CDF88">
      <w:pPr>
        <w:pStyle w:val="4"/>
        <w:ind w:left="0" w:leftChars="0" w:firstLine="560" w:firstLineChars="200"/>
        <w:rPr>
          <w:rFonts w:hint="eastAsia"/>
          <w:sz w:val="28"/>
          <w:szCs w:val="24"/>
        </w:rPr>
      </w:pPr>
      <w:r>
        <w:rPr>
          <w:rFonts w:hint="eastAsia"/>
          <w:sz w:val="28"/>
          <w:szCs w:val="24"/>
        </w:rPr>
        <w:t>（5）社交媒体数据</w:t>
      </w:r>
    </w:p>
    <w:p w14:paraId="2EC9C88F">
      <w:pPr>
        <w:pStyle w:val="4"/>
        <w:ind w:left="0" w:leftChars="0" w:firstLine="560" w:firstLineChars="200"/>
        <w:rPr>
          <w:rFonts w:hint="eastAsia"/>
          <w:sz w:val="28"/>
          <w:szCs w:val="24"/>
        </w:rPr>
      </w:pPr>
      <w:r>
        <w:rPr>
          <w:rFonts w:hint="eastAsia"/>
          <w:sz w:val="28"/>
          <w:szCs w:val="24"/>
        </w:rPr>
        <w:t>提供基于Twitter、TikTok、Facebook等平台的开源社交媒体数据集。能够基于社交媒体数据分析目标位置信息，提供对应地区高精度谷歌影像，采集社交媒体数据和目标属性数据制作目标分布专题图。</w:t>
      </w:r>
    </w:p>
    <w:p w14:paraId="668DB6DE">
      <w:pPr>
        <w:pStyle w:val="4"/>
        <w:ind w:left="0" w:leftChars="0" w:firstLine="560" w:firstLineChars="200"/>
        <w:rPr>
          <w:rFonts w:hint="eastAsia"/>
          <w:sz w:val="28"/>
          <w:szCs w:val="24"/>
        </w:rPr>
      </w:pPr>
      <w:r>
        <w:rPr>
          <w:rFonts w:hint="eastAsia"/>
          <w:sz w:val="28"/>
          <w:szCs w:val="24"/>
        </w:rPr>
        <w:t>（6）变化检测数据</w:t>
      </w:r>
    </w:p>
    <w:p w14:paraId="409017FB">
      <w:pPr>
        <w:pStyle w:val="4"/>
        <w:ind w:left="0" w:leftChars="0" w:firstLine="560" w:firstLineChars="200"/>
        <w:rPr>
          <w:rFonts w:hint="eastAsia"/>
          <w:sz w:val="28"/>
          <w:szCs w:val="24"/>
        </w:rPr>
      </w:pPr>
      <w:r>
        <w:rPr>
          <w:rFonts w:hint="eastAsia"/>
          <w:sz w:val="28"/>
          <w:szCs w:val="24"/>
        </w:rPr>
        <w:t xml:space="preserve">提供重点地区城市双时相遥感影像数据，用于建筑物变化检测提取，制作建筑物变化检测专题图。 </w:t>
      </w:r>
    </w:p>
    <w:p w14:paraId="700E3C47">
      <w:pPr>
        <w:pStyle w:val="4"/>
        <w:ind w:left="0" w:leftChars="0" w:firstLine="560" w:firstLineChars="200"/>
        <w:rPr>
          <w:rFonts w:hint="eastAsia"/>
          <w:sz w:val="28"/>
          <w:szCs w:val="24"/>
        </w:rPr>
      </w:pPr>
      <w:r>
        <w:rPr>
          <w:rFonts w:hint="eastAsia"/>
          <w:sz w:val="28"/>
          <w:szCs w:val="24"/>
        </w:rPr>
        <w:t>2.成果要求</w:t>
      </w:r>
    </w:p>
    <w:p w14:paraId="7D6CE944">
      <w:pPr>
        <w:pStyle w:val="4"/>
        <w:ind w:left="0" w:leftChars="0" w:firstLine="560" w:firstLineChars="200"/>
        <w:rPr>
          <w:rFonts w:hint="eastAsia"/>
          <w:sz w:val="28"/>
          <w:szCs w:val="24"/>
        </w:rPr>
      </w:pPr>
      <w:r>
        <w:rPr>
          <w:rFonts w:hint="eastAsia"/>
          <w:sz w:val="28"/>
          <w:szCs w:val="24"/>
        </w:rPr>
        <w:t>（1）目标样本数据集1套，包括港口、输电塔样本集，港口、输电塔样本数量不少于500个。</w:t>
      </w:r>
    </w:p>
    <w:p w14:paraId="2CBB297C">
      <w:pPr>
        <w:pStyle w:val="4"/>
        <w:ind w:left="0" w:leftChars="0" w:firstLine="560" w:firstLineChars="200"/>
        <w:rPr>
          <w:rFonts w:hint="eastAsia"/>
          <w:sz w:val="28"/>
          <w:szCs w:val="24"/>
        </w:rPr>
      </w:pPr>
      <w:r>
        <w:rPr>
          <w:rFonts w:hint="eastAsia"/>
          <w:sz w:val="28"/>
          <w:szCs w:val="24"/>
        </w:rPr>
        <w:t>（2）教学案例的实验数据一套，包括遥感数据、OSM数据、社交媒体数据等原始和成品数据。</w:t>
      </w:r>
    </w:p>
    <w:p w14:paraId="21BD4A92">
      <w:pPr>
        <w:pStyle w:val="4"/>
        <w:ind w:left="0" w:leftChars="0" w:firstLine="560" w:firstLineChars="200"/>
        <w:rPr>
          <w:sz w:val="28"/>
          <w:szCs w:val="24"/>
        </w:rPr>
      </w:pPr>
      <w:r>
        <w:rPr>
          <w:rFonts w:hint="eastAsia"/>
          <w:sz w:val="28"/>
          <w:szCs w:val="24"/>
        </w:rPr>
        <w:t>（3）教学实验手册1套，不少于6个教学案例，包括教学实验的目标、数据、步骤、结论成果。</w:t>
      </w:r>
    </w:p>
    <w:p w14:paraId="7FFBF0E7">
      <w:pPr>
        <w:pStyle w:val="4"/>
        <w:ind w:left="0" w:leftChars="0"/>
        <w:jc w:val="center"/>
        <w:rPr>
          <w:rFonts w:hint="eastAsia"/>
        </w:rPr>
      </w:pPr>
      <w:r>
        <w:rPr>
          <w:rFonts w:hint="eastAsia"/>
        </w:rPr>
        <w:br w:type="page"/>
      </w:r>
    </w:p>
    <w:p w14:paraId="3444320C">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79E84DA5">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40C34636">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（一）报价表（附件1）</w:t>
      </w:r>
    </w:p>
    <w:p w14:paraId="028D02D6">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（二）相关资格证明文件</w:t>
      </w:r>
      <w:r>
        <w:rPr>
          <w:rFonts w:hint="eastAsia" w:ascii="楷体" w:hAnsi="楷体" w:eastAsia="楷体" w:cs="楷体"/>
          <w:color w:val="000000"/>
          <w:sz w:val="28"/>
          <w:szCs w:val="28"/>
        </w:rPr>
        <w:t>（除必须要求原件外，其他资料原件和复印件均可）</w:t>
      </w:r>
    </w:p>
    <w:p w14:paraId="024097DB">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1.营业执照（复印件加盖公章）</w:t>
      </w:r>
    </w:p>
    <w:p w14:paraId="4CF889C4">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2.法定代表人资格证明书（附件2）</w:t>
      </w:r>
    </w:p>
    <w:p w14:paraId="2561B7EC">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3.法定代表人授权书（附件3）</w:t>
      </w:r>
    </w:p>
    <w:p w14:paraId="0BEA29B4">
      <w:pPr>
        <w:pStyle w:val="5"/>
        <w:spacing w:line="560" w:lineRule="exact"/>
        <w:ind w:left="489" w:leftChars="233" w:firstLine="280" w:firstLineChars="100"/>
        <w:rPr>
          <w:rFonts w:hint="eastAsia" w:ascii="楷体" w:hAnsi="楷体" w:eastAsia="楷体" w:cs="楷体"/>
          <w:sz w:val="28"/>
          <w:szCs w:val="28"/>
        </w:rPr>
      </w:pPr>
      <w:r>
        <w:rPr>
          <w:rFonts w:hint="eastAsia" w:ascii="楷体" w:hAnsi="楷体" w:eastAsia="楷体" w:cs="楷体"/>
          <w:sz w:val="28"/>
          <w:szCs w:val="28"/>
        </w:rPr>
        <w:t>4.</w:t>
      </w:r>
      <w:bookmarkStart w:id="0" w:name="_GoBack"/>
      <w:bookmarkEnd w:id="0"/>
      <w:r>
        <w:rPr>
          <w:rFonts w:hint="eastAsia" w:ascii="楷体" w:hAnsi="楷体" w:eastAsia="楷体" w:cs="楷体"/>
          <w:sz w:val="28"/>
          <w:szCs w:val="28"/>
          <w:lang w:val="en-US" w:eastAsia="zh-CN"/>
        </w:rPr>
        <w:t>乙</w:t>
      </w:r>
      <w:r>
        <w:rPr>
          <w:rFonts w:hint="eastAsia" w:ascii="楷体" w:hAnsi="楷体" w:eastAsia="楷体" w:cs="楷体"/>
          <w:sz w:val="28"/>
          <w:szCs w:val="28"/>
        </w:rPr>
        <w:t>级测绘资质证书，含地理信息系统工程</w:t>
      </w:r>
    </w:p>
    <w:p w14:paraId="5F7C0BF9">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（三）承诺函（附件4）</w:t>
      </w:r>
    </w:p>
    <w:p w14:paraId="714A90EB">
      <w:pPr>
        <w:pStyle w:val="8"/>
        <w:spacing w:line="560" w:lineRule="exact"/>
        <w:ind w:firstLine="560"/>
        <w:rPr>
          <w:rFonts w:hint="eastAsia" w:ascii="楷体" w:hAnsi="楷体" w:eastAsia="楷体" w:cs="楷体"/>
          <w:sz w:val="28"/>
          <w:szCs w:val="28"/>
        </w:rPr>
      </w:pPr>
    </w:p>
    <w:p w14:paraId="051E4234">
      <w:pPr>
        <w:pStyle w:val="8"/>
        <w:spacing w:line="560" w:lineRule="exact"/>
        <w:ind w:firstLine="560"/>
        <w:rPr>
          <w:rFonts w:hint="eastAsia" w:ascii="楷体" w:hAnsi="楷体" w:eastAsia="楷体" w:cs="楷体"/>
          <w:sz w:val="28"/>
          <w:szCs w:val="28"/>
        </w:rPr>
      </w:pPr>
    </w:p>
    <w:p w14:paraId="13A8B3AF">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0203B8A5">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32DA5C64">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0" w:type="auto"/>
        <w:jc w:val="center"/>
        <w:tblLayout w:type="fixed"/>
        <w:tblCellMar>
          <w:top w:w="0" w:type="dxa"/>
          <w:left w:w="108" w:type="dxa"/>
          <w:bottom w:w="0" w:type="dxa"/>
          <w:right w:w="108" w:type="dxa"/>
        </w:tblCellMar>
      </w:tblPr>
      <w:tblGrid>
        <w:gridCol w:w="2050"/>
        <w:gridCol w:w="2710"/>
        <w:gridCol w:w="2292"/>
        <w:gridCol w:w="1908"/>
      </w:tblGrid>
      <w:tr w14:paraId="168907E0">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449BB7B6">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2F5256D4">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77D1946D">
            <w:pPr>
              <w:widowControl/>
              <w:jc w:val="left"/>
              <w:rPr>
                <w:rFonts w:ascii="方正小标宋简体" w:hAnsi="宋体" w:eastAsia="方正小标宋简体" w:cs="宋体"/>
                <w:color w:val="000000"/>
                <w:sz w:val="44"/>
                <w:szCs w:val="44"/>
              </w:rPr>
            </w:pPr>
          </w:p>
        </w:tc>
      </w:tr>
      <w:tr w14:paraId="4966FA3A">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497DAA5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47BCD816">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1F481B4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207098CE">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58A31093">
            <w:pPr>
              <w:widowControl/>
              <w:jc w:val="center"/>
              <w:rPr>
                <w:rFonts w:hint="eastAsia" w:ascii="黑体" w:hAnsi="黑体" w:eastAsia="黑体" w:cs="宋体"/>
                <w:color w:val="000000"/>
                <w:sz w:val="32"/>
                <w:szCs w:val="32"/>
              </w:rPr>
            </w:pPr>
            <w:r>
              <w:rPr>
                <w:rFonts w:hint="eastAsia" w:ascii="微软雅黑" w:hAnsi="微软雅黑" w:eastAsia="微软雅黑"/>
                <w:bCs/>
                <w:color w:val="000000"/>
                <w:sz w:val="30"/>
                <w:szCs w:val="30"/>
              </w:rPr>
              <w:t>地理空间信息处理与应用实践教学案例</w:t>
            </w:r>
          </w:p>
        </w:tc>
        <w:tc>
          <w:tcPr>
            <w:tcW w:w="5002" w:type="dxa"/>
            <w:gridSpan w:val="2"/>
            <w:tcBorders>
              <w:top w:val="double" w:color="auto" w:sz="2" w:space="0"/>
              <w:left w:val="nil"/>
              <w:bottom w:val="single" w:color="auto" w:sz="4" w:space="0"/>
              <w:right w:val="single" w:color="auto" w:sz="4" w:space="0"/>
            </w:tcBorders>
            <w:noWrap w:val="0"/>
            <w:vAlign w:val="center"/>
          </w:tcPr>
          <w:p w14:paraId="35E8F7F6">
            <w:pPr>
              <w:pStyle w:val="7"/>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367FBB40">
            <w:pPr>
              <w:jc w:val="left"/>
              <w:rPr>
                <w:rFonts w:hint="eastAsia" w:ascii="仿宋_GB2312" w:hAnsi="仿宋_GB2312" w:eastAsia="仿宋_GB2312" w:cs="仿宋_GB2312"/>
                <w:color w:val="000000"/>
                <w:sz w:val="30"/>
                <w:szCs w:val="30"/>
              </w:rPr>
            </w:pPr>
          </w:p>
        </w:tc>
      </w:tr>
      <w:tr w14:paraId="243780AE">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1D644B4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1D89F9E9">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06F6A990">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28C0BC95">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382E8893">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以采购方通知为准</w:t>
            </w:r>
          </w:p>
        </w:tc>
      </w:tr>
      <w:tr w14:paraId="04C3B71A">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94BBF6B">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1032C655">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0EF5C8DB">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22BBA66E">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1EF1959A">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5910C421">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1E3159C6">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4A95EA64">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25D75BE4">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3A263FA4">
            <w:pPr>
              <w:widowControl/>
              <w:jc w:val="left"/>
              <w:rPr>
                <w:rFonts w:ascii="宋体" w:hAnsi="宋体"/>
                <w:color w:val="000000"/>
                <w:sz w:val="36"/>
                <w:szCs w:val="36"/>
              </w:rPr>
            </w:pPr>
          </w:p>
        </w:tc>
      </w:tr>
      <w:tr w14:paraId="6CEA1278">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2312392D">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F5088CC">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098C0087">
            <w:pPr>
              <w:widowControl/>
              <w:jc w:val="left"/>
              <w:rPr>
                <w:rFonts w:ascii="宋体" w:hAnsi="宋体"/>
                <w:color w:val="000000"/>
                <w:sz w:val="36"/>
                <w:szCs w:val="36"/>
              </w:rPr>
            </w:pPr>
          </w:p>
        </w:tc>
      </w:tr>
      <w:tr w14:paraId="59A65A6B">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582664B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39E79979">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576D22E8">
      <w:pPr>
        <w:pStyle w:val="8"/>
        <w:tabs>
          <w:tab w:val="left" w:pos="1875"/>
        </w:tabs>
        <w:ind w:left="0" w:leftChars="0" w:firstLine="0" w:firstLineChars="0"/>
        <w:rPr>
          <w:rFonts w:ascii="仿宋_GB2312" w:hAnsi="微软雅黑" w:eastAsia="仿宋_GB2312"/>
          <w:sz w:val="28"/>
          <w:szCs w:val="28"/>
        </w:rPr>
      </w:pPr>
      <w:r>
        <w:rPr>
          <w:rFonts w:hint="eastAsia" w:ascii="微软雅黑" w:hAnsi="微软雅黑" w:eastAsia="微软雅黑"/>
          <w:sz w:val="28"/>
          <w:szCs w:val="28"/>
        </w:rPr>
        <w:t>注：未完全响应的，按无效报价处理。若有正偏离，可在</w:t>
      </w:r>
      <w:r>
        <w:rPr>
          <w:rFonts w:hint="eastAsia" w:ascii="黑体" w:hAnsi="黑体" w:eastAsia="黑体" w:cs="宋体"/>
          <w:color w:val="000000"/>
          <w:sz w:val="32"/>
          <w:szCs w:val="32"/>
        </w:rPr>
        <w:t>明细栏</w:t>
      </w:r>
      <w:r>
        <w:rPr>
          <w:rFonts w:hint="eastAsia" w:ascii="微软雅黑" w:hAnsi="微软雅黑" w:eastAsia="微软雅黑"/>
          <w:sz w:val="28"/>
          <w:szCs w:val="28"/>
        </w:rPr>
        <w:t>注明。</w:t>
      </w:r>
      <w:r>
        <w:rPr>
          <w:rFonts w:ascii="微软雅黑" w:hAnsi="微软雅黑" w:eastAsia="微软雅黑"/>
          <w:sz w:val="28"/>
          <w:szCs w:val="28"/>
        </w:rPr>
        <w:br w:type="page"/>
      </w:r>
      <w:r>
        <w:rPr>
          <w:rFonts w:hint="eastAsia" w:ascii="仿宋_GB2312" w:hAnsi="微软雅黑" w:eastAsia="仿宋_GB2312"/>
          <w:sz w:val="28"/>
          <w:szCs w:val="28"/>
        </w:rPr>
        <w:t>附件2</w:t>
      </w:r>
    </w:p>
    <w:p w14:paraId="53DD99D1">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50800DD1">
      <w:pPr>
        <w:jc w:val="center"/>
        <w:rPr>
          <w:rFonts w:hint="eastAsia" w:eastAsia="华文中宋"/>
          <w:bCs/>
          <w:sz w:val="44"/>
        </w:rPr>
      </w:pPr>
    </w:p>
    <w:p w14:paraId="48EC75D7">
      <w:pPr>
        <w:ind w:firstLine="560" w:firstLineChars="200"/>
        <w:rPr>
          <w:rFonts w:eastAsia="楷体_GB2312"/>
          <w:sz w:val="28"/>
          <w:szCs w:val="28"/>
        </w:rPr>
      </w:pPr>
    </w:p>
    <w:p w14:paraId="7B73193C">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06B0D365">
      <w:pPr>
        <w:ind w:firstLine="560" w:firstLineChars="200"/>
        <w:rPr>
          <w:rFonts w:hint="eastAsia" w:ascii="仿宋_GB2312" w:hAnsi="微软雅黑" w:eastAsia="仿宋_GB2312"/>
          <w:sz w:val="28"/>
          <w:szCs w:val="28"/>
        </w:rPr>
      </w:pPr>
    </w:p>
    <w:p w14:paraId="4B3132F8">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4C7D48B4">
      <w:pPr>
        <w:pStyle w:val="8"/>
        <w:rPr>
          <w:rFonts w:hint="eastAsia" w:ascii="仿宋_GB2312" w:eastAsia="仿宋_GB2312"/>
        </w:rPr>
      </w:pPr>
    </w:p>
    <w:p w14:paraId="3731A1F7">
      <w:pPr>
        <w:pStyle w:val="8"/>
        <w:rPr>
          <w:rFonts w:hint="eastAsia" w:ascii="仿宋_GB2312" w:eastAsia="仿宋_GB2312"/>
        </w:rPr>
      </w:pPr>
    </w:p>
    <w:p w14:paraId="7F5F9FE3">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359410</wp:posOffset>
                </wp:positionH>
                <wp:positionV relativeFrom="paragraph">
                  <wp:posOffset>98425</wp:posOffset>
                </wp:positionV>
                <wp:extent cx="2240915" cy="1125855"/>
                <wp:effectExtent l="4445" t="4445" r="21590" b="12700"/>
                <wp:wrapNone/>
                <wp:docPr id="6" name="文本框 6"/>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4DD9AF4">
                            <w:pPr>
                              <w:jc w:val="center"/>
                              <w:rPr>
                                <w:rFonts w:ascii="宋体"/>
                              </w:rPr>
                            </w:pPr>
                          </w:p>
                          <w:p w14:paraId="64E3721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B339D1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60288;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V6tTK1QAAAAkBAAAP&#10;AAAAAAAAAAEAIAAAACIAAABkcnMvZG93bnJldi54bWxQSwECFAAUAAAACACHTuJAMttbuRsCAABR&#10;BAAADgAAAAAAAAABACAAAAAkAQAAZHJzL2Uyb0RvYy54bWxQSwUGAAAAAAYABgBZAQAAsQUAAAAA&#10;">
                <v:fill on="t" focussize="0,0"/>
                <v:stroke color="#000000" joinstyle="miter" dashstyle="dash"/>
                <v:imagedata o:title=""/>
                <o:lock v:ext="edit" aspectratio="f"/>
                <v:textbox>
                  <w:txbxContent>
                    <w:p w14:paraId="14DD9AF4">
                      <w:pPr>
                        <w:jc w:val="center"/>
                        <w:rPr>
                          <w:rFonts w:ascii="宋体"/>
                        </w:rPr>
                      </w:pPr>
                    </w:p>
                    <w:p w14:paraId="64E3721A">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1B339D1D">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1312" behindDoc="0" locked="0" layoutInCell="1" allowOverlap="1">
                <wp:simplePos x="0" y="0"/>
                <wp:positionH relativeFrom="column">
                  <wp:posOffset>2959735</wp:posOffset>
                </wp:positionH>
                <wp:positionV relativeFrom="paragraph">
                  <wp:posOffset>90170</wp:posOffset>
                </wp:positionV>
                <wp:extent cx="2240915" cy="1125855"/>
                <wp:effectExtent l="4445" t="4445" r="2159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2FFDFE9">
                            <w:pPr>
                              <w:jc w:val="center"/>
                              <w:rPr>
                                <w:rFonts w:ascii="宋体"/>
                              </w:rPr>
                            </w:pPr>
                          </w:p>
                          <w:p w14:paraId="290CDE9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3A6A7D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1312;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Ui36hNUAAAAKAQAADwAA&#10;AAAAAAABACAAAAAiAAAAZHJzL2Rvd25yZXYueG1sUEsBAhQAFAAAAAgAh07iQJcOWrcZAgAAUQQA&#10;AA4AAAAAAAAAAQAgAAAAJAEAAGRycy9lMm9Eb2MueG1sUEsFBgAAAAAGAAYAWQEAAK8FAAAAAA==&#10;">
                <v:fill on="t" focussize="0,0"/>
                <v:stroke color="#000000" joinstyle="miter" dashstyle="dash"/>
                <v:imagedata o:title=""/>
                <o:lock v:ext="edit" aspectratio="f"/>
                <v:textbox>
                  <w:txbxContent>
                    <w:p w14:paraId="22FFDFE9">
                      <w:pPr>
                        <w:jc w:val="center"/>
                        <w:rPr>
                          <w:rFonts w:ascii="宋体"/>
                        </w:rPr>
                      </w:pPr>
                    </w:p>
                    <w:p w14:paraId="290CDE95">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53A6A7DD">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4BAF12B6">
      <w:pPr>
        <w:ind w:firstLine="560" w:firstLineChars="200"/>
        <w:rPr>
          <w:rFonts w:hint="eastAsia" w:ascii="仿宋_GB2312" w:eastAsia="仿宋_GB2312"/>
          <w:sz w:val="28"/>
          <w:szCs w:val="28"/>
        </w:rPr>
      </w:pPr>
    </w:p>
    <w:p w14:paraId="3C5D7C26">
      <w:pPr>
        <w:rPr>
          <w:rFonts w:hint="eastAsia" w:ascii="仿宋_GB2312" w:eastAsia="仿宋_GB2312"/>
          <w:sz w:val="28"/>
          <w:szCs w:val="28"/>
        </w:rPr>
      </w:pPr>
    </w:p>
    <w:p w14:paraId="04B06712">
      <w:pPr>
        <w:rPr>
          <w:rFonts w:hint="eastAsia" w:ascii="仿宋_GB2312" w:eastAsia="仿宋_GB2312"/>
          <w:sz w:val="28"/>
          <w:szCs w:val="28"/>
        </w:rPr>
      </w:pPr>
    </w:p>
    <w:p w14:paraId="4FC47A76">
      <w:pPr>
        <w:rPr>
          <w:rFonts w:hint="eastAsia" w:ascii="仿宋_GB2312" w:eastAsia="仿宋_GB2312"/>
          <w:sz w:val="28"/>
          <w:szCs w:val="28"/>
        </w:rPr>
      </w:pPr>
    </w:p>
    <w:p w14:paraId="758D5E0E">
      <w:pPr>
        <w:rPr>
          <w:rFonts w:hint="eastAsia" w:ascii="仿宋_GB2312" w:eastAsia="仿宋_GB2312"/>
          <w:sz w:val="28"/>
          <w:szCs w:val="28"/>
        </w:rPr>
      </w:pPr>
    </w:p>
    <w:p w14:paraId="7DFF2FA2">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107052E2">
      <w:pPr>
        <w:jc w:val="left"/>
        <w:rPr>
          <w:rFonts w:hint="eastAsia" w:ascii="仿宋_GB2312" w:hAnsi="微软雅黑" w:eastAsia="仿宋_GB2312"/>
          <w:sz w:val="28"/>
          <w:szCs w:val="28"/>
        </w:rPr>
      </w:pPr>
    </w:p>
    <w:p w14:paraId="141C6F55">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4039A30C">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3BE48462">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4600796F">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6E039713">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61694FFD">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5D13493A">
      <w:pPr>
        <w:spacing w:line="560" w:lineRule="exact"/>
        <w:ind w:firstLine="600"/>
        <w:rPr>
          <w:rFonts w:hint="eastAsia" w:ascii="仿宋_GB2312" w:hAnsi="微软雅黑" w:eastAsia="仿宋_GB2312"/>
          <w:sz w:val="28"/>
          <w:szCs w:val="28"/>
        </w:rPr>
      </w:pPr>
    </w:p>
    <w:p w14:paraId="2C60B1CD">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7FD97D92">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393F3BD8">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3B557E7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4E117E8">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19CF8933">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1B577577">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2A7E4DEB">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133F0E11">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1ABC85B4">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3360" behindDoc="0" locked="0" layoutInCell="1" allowOverlap="1">
                <wp:simplePos x="0" y="0"/>
                <wp:positionH relativeFrom="column">
                  <wp:posOffset>2858770</wp:posOffset>
                </wp:positionH>
                <wp:positionV relativeFrom="paragraph">
                  <wp:posOffset>185420</wp:posOffset>
                </wp:positionV>
                <wp:extent cx="2240915" cy="1125855"/>
                <wp:effectExtent l="4445" t="4445" r="2159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32D3E5EB">
                            <w:pPr>
                              <w:jc w:val="center"/>
                              <w:rPr>
                                <w:rFonts w:ascii="宋体"/>
                              </w:rPr>
                            </w:pPr>
                          </w:p>
                          <w:p w14:paraId="0CBB2692">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0937D2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3360;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DH65e1gAAAAoBAAAP&#10;AAAAAAAAAAEAIAAAACIAAABkcnMvZG93bnJldi54bWxQSwECFAAUAAAACACHTuJAWB56OxoCAABR&#10;BAAADgAAAAAAAAABACAAAAAlAQAAZHJzL2Uyb0RvYy54bWxQSwUGAAAAAAYABgBZAQAAsQUAAAAA&#10;">
                <v:fill on="t" focussize="0,0"/>
                <v:stroke color="#000000" joinstyle="miter" dashstyle="dash"/>
                <v:imagedata o:title=""/>
                <o:lock v:ext="edit" aspectratio="f"/>
                <v:textbox>
                  <w:txbxContent>
                    <w:p w14:paraId="32D3E5EB">
                      <w:pPr>
                        <w:jc w:val="center"/>
                        <w:rPr>
                          <w:rFonts w:ascii="宋体"/>
                        </w:rPr>
                      </w:pPr>
                    </w:p>
                    <w:p w14:paraId="0CBB2692">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00937D26">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371475</wp:posOffset>
                </wp:positionH>
                <wp:positionV relativeFrom="paragraph">
                  <wp:posOffset>183515</wp:posOffset>
                </wp:positionV>
                <wp:extent cx="2240915" cy="1125855"/>
                <wp:effectExtent l="4445" t="4445" r="2159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43E0A242">
                            <w:pPr>
                              <w:jc w:val="center"/>
                              <w:rPr>
                                <w:rFonts w:ascii="宋体"/>
                              </w:rPr>
                            </w:pPr>
                          </w:p>
                          <w:p w14:paraId="268D8A89">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9AE88F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2336;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CLsSvYbAgAA&#10;UQQAAA4AAAAAAAAAAQAgAAAAJQEAAGRycy9lMm9Eb2MueG1sUEsFBgAAAAAGAAYAWQEAALIFAAAA&#10;AA==&#10;">
                <v:fill on="t" focussize="0,0"/>
                <v:stroke color="#000000" joinstyle="miter" dashstyle="dash"/>
                <v:imagedata o:title=""/>
                <o:lock v:ext="edit" aspectratio="f"/>
                <v:textbox>
                  <w:txbxContent>
                    <w:p w14:paraId="43E0A242">
                      <w:pPr>
                        <w:jc w:val="center"/>
                        <w:rPr>
                          <w:rFonts w:ascii="宋体"/>
                        </w:rPr>
                      </w:pPr>
                    </w:p>
                    <w:p w14:paraId="268D8A89">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49AE88FB">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6A499075">
      <w:pPr>
        <w:spacing w:line="560" w:lineRule="exact"/>
        <w:ind w:firstLine="573"/>
        <w:rPr>
          <w:rFonts w:hint="eastAsia" w:ascii="仿宋_GB2312" w:eastAsia="仿宋_GB2312"/>
        </w:rPr>
      </w:pPr>
    </w:p>
    <w:p w14:paraId="7627B38E">
      <w:pPr>
        <w:spacing w:line="560" w:lineRule="exact"/>
        <w:ind w:firstLine="573"/>
        <w:rPr>
          <w:rFonts w:hint="eastAsia" w:ascii="仿宋_GB2312" w:eastAsia="仿宋_GB2312"/>
        </w:rPr>
      </w:pPr>
    </w:p>
    <w:p w14:paraId="6E27CBA9">
      <w:pPr>
        <w:spacing w:line="560" w:lineRule="exact"/>
        <w:ind w:firstLine="573"/>
        <w:rPr>
          <w:rFonts w:hint="eastAsia" w:ascii="仿宋_GB2312" w:eastAsia="仿宋_GB2312"/>
        </w:rPr>
      </w:pPr>
    </w:p>
    <w:p w14:paraId="0F05B1BF">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786779C4">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26515927">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0706C08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62C7E47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6482AD52">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32EBBB25">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2D9A0871">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6E8263C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43A05984">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1D8DC59C">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3B2B30DA">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56238B10">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579A1360">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0689B38C">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2241940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3C8F216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3BA783CD">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33A826DB">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3E37879E">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C90FFF1">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44660E2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34AB6407">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61FFE329">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0CCA806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478510D2">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12E0BAA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17FA700E">
      <w:pPr>
        <w:widowControl/>
        <w:autoSpaceDE w:val="0"/>
        <w:autoSpaceDN w:val="0"/>
        <w:adjustRightInd w:val="0"/>
        <w:spacing w:line="600" w:lineRule="exact"/>
        <w:ind w:firstLine="560" w:firstLineChars="200"/>
        <w:rPr>
          <w:rFonts w:hint="eastAsia" w:ascii="仿宋_GB2312" w:eastAsia="仿宋_GB2312"/>
          <w:sz w:val="28"/>
          <w:szCs w:val="28"/>
        </w:rPr>
      </w:pPr>
    </w:p>
    <w:p w14:paraId="75539FD0">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72B83C41">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53FB76C5">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432DF9DE">
      <w:pPr>
        <w:widowControl/>
        <w:autoSpaceDE w:val="0"/>
        <w:autoSpaceDN w:val="0"/>
        <w:adjustRightInd w:val="0"/>
        <w:spacing w:line="600" w:lineRule="exact"/>
        <w:ind w:firstLine="560" w:firstLineChars="200"/>
        <w:rPr>
          <w:rFonts w:hint="eastAsia" w:ascii="仿宋_GB2312" w:eastAsia="仿宋_GB2312"/>
          <w:sz w:val="28"/>
          <w:szCs w:val="28"/>
        </w:rPr>
      </w:pPr>
    </w:p>
    <w:p w14:paraId="7D1B3598">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AC0AA2C">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468A0DE6">
      <w:pPr>
        <w:pStyle w:val="4"/>
        <w:ind w:left="0" w:leftChars="0"/>
        <w:rPr>
          <w:rFonts w:hint="eastAsia"/>
        </w:rPr>
      </w:pPr>
    </w:p>
    <w:p w14:paraId="1CBCCF3C">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57EB87EA"/>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6F90E">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BDCE5">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81504">
    <w:pPr>
      <w:snapToGrid w:val="0"/>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E4C091">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11</w:t>
                          </w:r>
                          <w:r>
                            <w:rPr>
                              <w:rFonts w:hint="eastAsia" w:ascii="宋体" w:hAnsi="宋体" w:cs="宋体"/>
                              <w:sz w:val="28"/>
                              <w:szCs w:val="28"/>
                              <w:lang w:bidi="ar"/>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9E4C091">
                    <w:pPr>
                      <w:pStyle w:val="6"/>
                      <w:rPr>
                        <w:rFonts w:hint="eastAsia" w:ascii="宋体" w:hAnsi="宋体" w:cs="宋体"/>
                        <w:sz w:val="28"/>
                        <w:szCs w:val="28"/>
                        <w:lang w:bidi="ar"/>
                      </w:rPr>
                    </w:pPr>
                    <w:r>
                      <w:rPr>
                        <w:rFonts w:hint="eastAsia" w:ascii="宋体" w:hAnsi="宋体" w:cs="宋体"/>
                        <w:sz w:val="28"/>
                        <w:szCs w:val="28"/>
                        <w:lang w:bidi="ar"/>
                      </w:rPr>
                      <w:fldChar w:fldCharType="begin"/>
                    </w:r>
                    <w:r>
                      <w:rPr>
                        <w:rFonts w:hint="eastAsia" w:ascii="宋体" w:hAnsi="宋体" w:cs="宋体"/>
                        <w:sz w:val="28"/>
                        <w:szCs w:val="28"/>
                        <w:lang w:bidi="ar"/>
                      </w:rPr>
                      <w:instrText xml:space="preserve"> PAGE  \* MERGEFORMAT </w:instrText>
                    </w:r>
                    <w:r>
                      <w:rPr>
                        <w:rFonts w:hint="eastAsia" w:ascii="宋体" w:hAnsi="宋体" w:cs="宋体"/>
                        <w:sz w:val="28"/>
                        <w:szCs w:val="28"/>
                        <w:lang w:bidi="ar"/>
                      </w:rPr>
                      <w:fldChar w:fldCharType="separate"/>
                    </w:r>
                    <w:r>
                      <w:rPr>
                        <w:rFonts w:ascii="宋体" w:hAnsi="宋体" w:cs="宋体"/>
                        <w:sz w:val="28"/>
                        <w:szCs w:val="28"/>
                        <w:lang w:bidi="ar"/>
                      </w:rPr>
                      <w:t>11</w:t>
                    </w:r>
                    <w:r>
                      <w:rPr>
                        <w:rFonts w:hint="eastAsia" w:ascii="宋体" w:hAnsi="宋体" w:cs="宋体"/>
                        <w:sz w:val="28"/>
                        <w:szCs w:val="28"/>
                        <w:lang w:bidi="ar"/>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A71901"/>
    <w:rsid w:val="494F4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qFormat/>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3585</Words>
  <Characters>3809</Characters>
  <Lines>0</Lines>
  <Paragraphs>0</Paragraphs>
  <TotalTime>0</TotalTime>
  <ScaleCrop>false</ScaleCrop>
  <LinksUpToDate>false</LinksUpToDate>
  <CharactersWithSpaces>4046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2025-10-21T03:38:00Z</dcterms:created>
  <dc:creator>dell</dc:creator>
  <cp:lastModifiedBy>Mlan</cp:lastModifiedBy>
  <dcterms:modified xsi:type="dcterms:W3CDTF">2025-10-22T05:33:59Z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3F4552CD3A07479A90D5E5DB89D411EF</vt:lpwstr>
  </property>
  <property fmtid="{D5CDD505-2E9C-101B-9397-08002B2CF9AE}" pid="4" name="KSOTemplateDocerSaveRecord">
    <vt:lpwstr>eyJoZGlkIjoiYzkwYzUwZTg0YTVhMjZlZWIxZGUyYWNhYTUxOTlmYmQifQ==</vt:lpwstr>
  </property>
</Properties>
</file>